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D" w:rsidRPr="00512822" w:rsidRDefault="00756796">
      <w:pPr>
        <w:pStyle w:val="a3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 w:rsidRPr="00512822">
        <w:rPr>
          <w:rFonts w:ascii="宋体" w:eastAsia="宋体" w:hAnsi="宋体"/>
          <w:sz w:val="28"/>
          <w:szCs w:val="28"/>
        </w:rPr>
        <w:t>附件</w:t>
      </w:r>
      <w:r w:rsidRPr="00512822">
        <w:rPr>
          <w:rFonts w:ascii="宋体" w:eastAsia="宋体" w:hAnsi="宋体" w:hint="eastAsia"/>
          <w:sz w:val="28"/>
          <w:szCs w:val="28"/>
        </w:rPr>
        <w:t>五</w:t>
      </w:r>
    </w:p>
    <w:p w:rsidR="00CA22AD" w:rsidRPr="00740DF9" w:rsidRDefault="00756796">
      <w:pPr>
        <w:jc w:val="center"/>
        <w:rPr>
          <w:rFonts w:ascii="宋体" w:eastAsia="宋体" w:hAnsi="宋体"/>
          <w:b/>
          <w:sz w:val="28"/>
          <w:szCs w:val="28"/>
        </w:rPr>
      </w:pPr>
      <w:r w:rsidRPr="00512822">
        <w:rPr>
          <w:rFonts w:ascii="宋体" w:eastAsia="宋体" w:hAnsi="宋体" w:hint="eastAsia"/>
          <w:b/>
          <w:sz w:val="28"/>
          <w:szCs w:val="28"/>
        </w:rPr>
        <w:t>201</w:t>
      </w:r>
      <w:r w:rsidRPr="00512822">
        <w:rPr>
          <w:rFonts w:ascii="宋体" w:eastAsia="宋体" w:hAnsi="宋体"/>
          <w:b/>
          <w:sz w:val="28"/>
          <w:szCs w:val="28"/>
        </w:rPr>
        <w:t>8</w:t>
      </w:r>
      <w:r w:rsidRPr="00512822">
        <w:rPr>
          <w:rFonts w:ascii="宋体" w:eastAsia="宋体" w:hAnsi="宋体" w:hint="eastAsia"/>
          <w:b/>
          <w:sz w:val="28"/>
          <w:szCs w:val="28"/>
        </w:rPr>
        <w:t>年</w:t>
      </w:r>
      <w:r w:rsidR="00C470A6">
        <w:rPr>
          <w:rFonts w:ascii="宋体" w:eastAsia="宋体" w:hAnsi="宋体" w:hint="eastAsia"/>
          <w:b/>
          <w:sz w:val="28"/>
          <w:szCs w:val="28"/>
        </w:rPr>
        <w:t>材料与能源学院</w:t>
      </w:r>
      <w:r w:rsidRPr="00512822">
        <w:rPr>
          <w:rFonts w:ascii="宋体" w:eastAsia="宋体" w:hAnsi="宋体" w:hint="eastAsia"/>
          <w:b/>
          <w:sz w:val="28"/>
          <w:szCs w:val="28"/>
        </w:rPr>
        <w:t>研究生</w:t>
      </w:r>
      <w:r w:rsidR="00B12765" w:rsidRPr="00512822">
        <w:rPr>
          <w:rFonts w:ascii="宋体" w:eastAsia="宋体" w:hAnsi="宋体" w:hint="eastAsia"/>
          <w:b/>
          <w:sz w:val="28"/>
          <w:szCs w:val="28"/>
          <w:u w:val="single"/>
        </w:rPr>
        <w:t>学业</w:t>
      </w:r>
      <w:r w:rsidRPr="00512822">
        <w:rPr>
          <w:rFonts w:ascii="宋体" w:eastAsia="宋体" w:hAnsi="宋体"/>
          <w:b/>
          <w:sz w:val="28"/>
          <w:szCs w:val="28"/>
        </w:rPr>
        <w:t>奖学金</w:t>
      </w:r>
      <w:r w:rsidRPr="00512822">
        <w:rPr>
          <w:rFonts w:ascii="宋体" w:eastAsia="宋体" w:hAnsi="宋体" w:hint="eastAsia"/>
          <w:b/>
          <w:sz w:val="28"/>
          <w:szCs w:val="28"/>
        </w:rPr>
        <w:t>评定实施</w:t>
      </w:r>
      <w:r w:rsidRPr="00512822">
        <w:rPr>
          <w:rFonts w:ascii="宋体" w:eastAsia="宋体" w:hAnsi="宋体"/>
          <w:b/>
          <w:sz w:val="28"/>
          <w:szCs w:val="28"/>
        </w:rPr>
        <w:t>细则修订工作说明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07"/>
        <w:gridCol w:w="2865"/>
        <w:gridCol w:w="2741"/>
        <w:gridCol w:w="2052"/>
      </w:tblGrid>
      <w:tr w:rsidR="00CA22AD" w:rsidRPr="00512822">
        <w:trPr>
          <w:trHeight w:val="409"/>
        </w:trPr>
        <w:tc>
          <w:tcPr>
            <w:tcW w:w="10065" w:type="dxa"/>
            <w:gridSpan w:val="5"/>
            <w:shd w:val="clear" w:color="auto" w:fill="auto"/>
          </w:tcPr>
          <w:p w:rsidR="00CA22AD" w:rsidRPr="00512822" w:rsidRDefault="00756796">
            <w:pPr>
              <w:pStyle w:val="a3"/>
              <w:ind w:firstLineChars="0" w:firstLine="0"/>
              <w:rPr>
                <w:rFonts w:ascii="宋体" w:eastAsia="宋体" w:hAnsi="宋体"/>
                <w:b/>
                <w:sz w:val="28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8"/>
                <w:szCs w:val="28"/>
              </w:rPr>
              <w:t>学院研究生奖学金评审委员会</w:t>
            </w:r>
          </w:p>
        </w:tc>
      </w:tr>
      <w:tr w:rsidR="00CA22AD" w:rsidRPr="00512822">
        <w:trPr>
          <w:trHeight w:val="409"/>
        </w:trPr>
        <w:tc>
          <w:tcPr>
            <w:tcW w:w="10065" w:type="dxa"/>
            <w:gridSpan w:val="5"/>
            <w:shd w:val="clear" w:color="auto" w:fill="auto"/>
          </w:tcPr>
          <w:p w:rsidR="00CA22AD" w:rsidRPr="00512822" w:rsidRDefault="00756796">
            <w:pPr>
              <w:spacing w:line="400" w:lineRule="exact"/>
              <w:rPr>
                <w:rFonts w:ascii="宋体" w:eastAsia="宋体" w:hAnsi="宋体"/>
                <w:sz w:val="22"/>
                <w:szCs w:val="28"/>
              </w:rPr>
            </w:pPr>
            <w:r w:rsidRPr="00512822">
              <w:rPr>
                <w:rFonts w:ascii="宋体" w:eastAsia="宋体" w:hAnsi="宋体" w:hint="eastAsia"/>
                <w:sz w:val="22"/>
                <w:szCs w:val="28"/>
              </w:rPr>
              <w:t>主任</w:t>
            </w:r>
            <w:r w:rsidRPr="00512822">
              <w:rPr>
                <w:rFonts w:ascii="宋体" w:eastAsia="宋体" w:hAnsi="宋体"/>
                <w:sz w:val="22"/>
                <w:szCs w:val="28"/>
              </w:rPr>
              <w:t>委员：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牛晓滨</w:t>
            </w:r>
            <w:r w:rsidRPr="00512822">
              <w:rPr>
                <w:rFonts w:ascii="宋体" w:eastAsia="宋体" w:hAnsi="宋体" w:hint="eastAsia"/>
                <w:sz w:val="22"/>
                <w:szCs w:val="28"/>
              </w:rPr>
              <w:t>（</w:t>
            </w:r>
            <w:r w:rsidR="008F1E27" w:rsidRPr="00656846">
              <w:rPr>
                <w:rFonts w:hint="eastAsia"/>
                <w:color w:val="000000"/>
                <w:sz w:val="24"/>
                <w:szCs w:val="24"/>
              </w:rPr>
              <w:t>分管研究生教学工作的副院长</w:t>
            </w:r>
            <w:r w:rsidRPr="00512822">
              <w:rPr>
                <w:rFonts w:ascii="宋体" w:eastAsia="宋体" w:hAnsi="宋体" w:hint="eastAsia"/>
                <w:sz w:val="22"/>
                <w:szCs w:val="28"/>
              </w:rPr>
              <w:t>）、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李翰超</w:t>
            </w:r>
            <w:r w:rsidRPr="00512822">
              <w:rPr>
                <w:rFonts w:ascii="宋体" w:eastAsia="宋体" w:hAnsi="宋体" w:hint="eastAsia"/>
                <w:sz w:val="22"/>
                <w:szCs w:val="28"/>
              </w:rPr>
              <w:t>（</w:t>
            </w:r>
            <w:r w:rsidR="008F1E27">
              <w:rPr>
                <w:rFonts w:hint="eastAsia"/>
                <w:color w:val="000000"/>
                <w:sz w:val="24"/>
                <w:szCs w:val="24"/>
              </w:rPr>
              <w:t>分管研究生学生工作的副书记</w:t>
            </w:r>
            <w:r w:rsidRPr="00512822">
              <w:rPr>
                <w:rFonts w:ascii="宋体" w:eastAsia="宋体" w:hAnsi="宋体" w:hint="eastAsia"/>
                <w:sz w:val="22"/>
                <w:szCs w:val="28"/>
              </w:rPr>
              <w:t>）</w:t>
            </w:r>
          </w:p>
          <w:p w:rsidR="00CA22AD" w:rsidRPr="00512822" w:rsidRDefault="00756796">
            <w:pPr>
              <w:spacing w:line="400" w:lineRule="exact"/>
              <w:rPr>
                <w:rFonts w:ascii="宋体" w:eastAsia="宋体" w:hAnsi="宋体"/>
                <w:b/>
                <w:sz w:val="22"/>
                <w:szCs w:val="28"/>
              </w:rPr>
            </w:pPr>
            <w:r w:rsidRPr="00512822">
              <w:rPr>
                <w:rFonts w:ascii="宋体" w:eastAsia="宋体" w:hAnsi="宋体" w:hint="eastAsia"/>
                <w:sz w:val="22"/>
                <w:szCs w:val="28"/>
              </w:rPr>
              <w:t>委员</w:t>
            </w:r>
            <w:r w:rsidRPr="00512822">
              <w:rPr>
                <w:rFonts w:ascii="宋体" w:eastAsia="宋体" w:hAnsi="宋体"/>
                <w:sz w:val="22"/>
                <w:szCs w:val="28"/>
              </w:rPr>
              <w:t>：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孙科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（</w:t>
            </w:r>
            <w:r w:rsidR="008F1E27">
              <w:rPr>
                <w:rFonts w:hint="eastAsia"/>
                <w:color w:val="000000"/>
                <w:sz w:val="24"/>
                <w:szCs w:val="24"/>
              </w:rPr>
              <w:t>院长助理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）、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王焱</w:t>
            </w:r>
            <w:r w:rsidR="00CD5F6C" w:rsidRPr="00512822">
              <w:rPr>
                <w:rFonts w:ascii="宋体" w:eastAsia="宋体" w:hAnsi="宋体" w:hint="eastAsia"/>
                <w:sz w:val="22"/>
                <w:szCs w:val="28"/>
              </w:rPr>
              <w:t>（</w:t>
            </w:r>
            <w:r w:rsidR="00CD5F6C">
              <w:rPr>
                <w:rFonts w:hint="eastAsia"/>
                <w:color w:val="000000"/>
                <w:sz w:val="24"/>
                <w:szCs w:val="24"/>
              </w:rPr>
              <w:t>院长助理</w:t>
            </w:r>
            <w:r w:rsidR="00CD5F6C" w:rsidRPr="00512822">
              <w:rPr>
                <w:rFonts w:ascii="宋体" w:eastAsia="宋体" w:hAnsi="宋体" w:hint="eastAsia"/>
                <w:sz w:val="22"/>
                <w:szCs w:val="28"/>
              </w:rPr>
              <w:t>）、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李廷帅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（教师代表）、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李玉兰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（</w:t>
            </w:r>
            <w:r w:rsidR="008F1E27">
              <w:rPr>
                <w:rFonts w:hint="eastAsia"/>
                <w:color w:val="000000"/>
                <w:sz w:val="24"/>
                <w:szCs w:val="24"/>
              </w:rPr>
              <w:t>研究生科科长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）、</w:t>
            </w:r>
            <w:r w:rsidR="00571166">
              <w:rPr>
                <w:rFonts w:ascii="宋体" w:eastAsia="宋体" w:hAnsi="宋体" w:hint="eastAsia"/>
                <w:sz w:val="22"/>
                <w:szCs w:val="28"/>
              </w:rPr>
              <w:t>何文劼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（研究生辅导员）、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黄雄芳</w:t>
            </w:r>
            <w:r w:rsidR="0048093A" w:rsidRPr="00512822">
              <w:rPr>
                <w:rFonts w:ascii="宋体" w:eastAsia="宋体" w:hAnsi="宋体" w:hint="eastAsia"/>
                <w:sz w:val="22"/>
                <w:szCs w:val="28"/>
              </w:rPr>
              <w:t>（学生代表）</w:t>
            </w:r>
            <w:r w:rsidR="00CD5F6C">
              <w:rPr>
                <w:rFonts w:ascii="宋体" w:eastAsia="宋体" w:hAnsi="宋体" w:hint="eastAsia"/>
                <w:sz w:val="22"/>
                <w:szCs w:val="28"/>
              </w:rPr>
              <w:t>、</w:t>
            </w:r>
            <w:r w:rsidR="00CD5F6C" w:rsidRPr="00CD5F6C">
              <w:rPr>
                <w:rFonts w:ascii="宋体" w:eastAsia="宋体" w:hAnsi="宋体" w:hint="eastAsia"/>
                <w:sz w:val="22"/>
                <w:szCs w:val="28"/>
              </w:rPr>
              <w:t>倪修任</w:t>
            </w:r>
            <w:r w:rsidR="00CD5F6C" w:rsidRPr="00512822">
              <w:rPr>
                <w:rFonts w:ascii="宋体" w:eastAsia="宋体" w:hAnsi="宋体" w:hint="eastAsia"/>
                <w:sz w:val="22"/>
                <w:szCs w:val="28"/>
              </w:rPr>
              <w:t>（学生代表）</w:t>
            </w:r>
            <w:bookmarkStart w:id="0" w:name="_GoBack"/>
            <w:bookmarkEnd w:id="0"/>
          </w:p>
        </w:tc>
      </w:tr>
      <w:tr w:rsidR="00950EF8" w:rsidRPr="00512822">
        <w:trPr>
          <w:trHeight w:val="530"/>
        </w:trPr>
        <w:tc>
          <w:tcPr>
            <w:tcW w:w="10065" w:type="dxa"/>
            <w:gridSpan w:val="5"/>
            <w:shd w:val="clear" w:color="auto" w:fill="auto"/>
          </w:tcPr>
          <w:p w:rsidR="00950EF8" w:rsidRPr="00512822" w:rsidRDefault="00950EF8" w:rsidP="00740DF9">
            <w:pPr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8"/>
                <w:szCs w:val="28"/>
              </w:rPr>
              <w:t>学院奖学金</w:t>
            </w:r>
            <w:r w:rsidRPr="00512822">
              <w:rPr>
                <w:rFonts w:ascii="宋体" w:eastAsia="宋体" w:hAnsi="宋体"/>
                <w:b/>
                <w:sz w:val="28"/>
                <w:szCs w:val="28"/>
              </w:rPr>
              <w:t>评定</w:t>
            </w:r>
            <w:r w:rsidRPr="00512822">
              <w:rPr>
                <w:rFonts w:ascii="宋体" w:eastAsia="宋体" w:hAnsi="宋体" w:hint="eastAsia"/>
                <w:b/>
                <w:sz w:val="28"/>
                <w:szCs w:val="28"/>
              </w:rPr>
              <w:t>实施</w:t>
            </w:r>
            <w:r w:rsidRPr="00512822">
              <w:rPr>
                <w:rFonts w:ascii="宋体" w:eastAsia="宋体" w:hAnsi="宋体"/>
                <w:b/>
                <w:sz w:val="28"/>
                <w:szCs w:val="28"/>
              </w:rPr>
              <w:t>细则</w:t>
            </w:r>
            <w:r w:rsidRPr="00512822">
              <w:rPr>
                <w:rFonts w:ascii="宋体" w:eastAsia="宋体" w:hAnsi="宋体" w:hint="eastAsia"/>
                <w:b/>
                <w:sz w:val="28"/>
                <w:szCs w:val="28"/>
              </w:rPr>
              <w:t>修订</w:t>
            </w:r>
            <w:r w:rsidRPr="00512822">
              <w:rPr>
                <w:rFonts w:ascii="宋体" w:eastAsia="宋体" w:hAnsi="宋体"/>
                <w:b/>
                <w:sz w:val="28"/>
                <w:szCs w:val="28"/>
              </w:rPr>
              <w:t>具体情况</w:t>
            </w:r>
          </w:p>
        </w:tc>
      </w:tr>
      <w:tr w:rsidR="00E22C3C" w:rsidRPr="00512822">
        <w:trPr>
          <w:trHeight w:val="367"/>
        </w:trPr>
        <w:tc>
          <w:tcPr>
            <w:tcW w:w="1700" w:type="dxa"/>
            <w:vMerge w:val="restart"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E22C3C" w:rsidRPr="00512822" w:rsidRDefault="00E22C3C">
            <w:pPr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E22C3C" w:rsidRPr="00512822" w:rsidRDefault="00E22C3C">
            <w:pPr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E22C3C" w:rsidRPr="00512822" w:rsidRDefault="00E22C3C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细则修改部分</w:t>
            </w:r>
          </w:p>
        </w:tc>
        <w:tc>
          <w:tcPr>
            <w:tcW w:w="707" w:type="dxa"/>
            <w:shd w:val="clear" w:color="auto" w:fill="auto"/>
          </w:tcPr>
          <w:p w:rsidR="00E22C3C" w:rsidRPr="00512822" w:rsidRDefault="00E22C3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865" w:type="dxa"/>
            <w:shd w:val="clear" w:color="auto" w:fill="auto"/>
          </w:tcPr>
          <w:p w:rsidR="00E22C3C" w:rsidRPr="00512822" w:rsidRDefault="00E22C3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原文</w:t>
            </w:r>
          </w:p>
        </w:tc>
        <w:tc>
          <w:tcPr>
            <w:tcW w:w="2741" w:type="dxa"/>
            <w:shd w:val="clear" w:color="auto" w:fill="auto"/>
          </w:tcPr>
          <w:p w:rsidR="00E22C3C" w:rsidRPr="00512822" w:rsidRDefault="00E22C3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现修改为</w:t>
            </w:r>
          </w:p>
        </w:tc>
        <w:tc>
          <w:tcPr>
            <w:tcW w:w="2052" w:type="dxa"/>
            <w:shd w:val="clear" w:color="auto" w:fill="auto"/>
          </w:tcPr>
          <w:p w:rsidR="00E22C3C" w:rsidRPr="00512822" w:rsidRDefault="00E22C3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修订</w:t>
            </w:r>
            <w:r w:rsidRPr="00512822">
              <w:rPr>
                <w:rFonts w:ascii="宋体" w:eastAsia="宋体" w:hAnsi="宋体"/>
                <w:b/>
                <w:sz w:val="24"/>
                <w:szCs w:val="28"/>
              </w:rPr>
              <w:t>原因</w:t>
            </w:r>
          </w:p>
        </w:tc>
      </w:tr>
      <w:tr w:rsidR="00E22C3C" w:rsidRPr="00512822">
        <w:tc>
          <w:tcPr>
            <w:tcW w:w="1700" w:type="dxa"/>
            <w:vMerge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22C3C" w:rsidRPr="00512822" w:rsidRDefault="00E22C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E22C3C" w:rsidRPr="00512822" w:rsidRDefault="00F53F8B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9775CE">
              <w:rPr>
                <w:rFonts w:ascii="宋体" w:eastAsia="宋体" w:hAnsi="宋体" w:hint="eastAsia"/>
                <w:sz w:val="22"/>
              </w:rPr>
              <w:t>奖学金评定小组由学院党委书记、主管研究生副院长、主管学生工作副书记、学生科以及教师代表组成</w:t>
            </w:r>
          </w:p>
        </w:tc>
        <w:tc>
          <w:tcPr>
            <w:tcW w:w="2741" w:type="dxa"/>
            <w:shd w:val="clear" w:color="auto" w:fill="auto"/>
          </w:tcPr>
          <w:p w:rsidR="00F53F8B" w:rsidRPr="009775CE" w:rsidRDefault="00F53F8B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9775CE">
              <w:rPr>
                <w:rFonts w:ascii="宋体" w:eastAsia="宋体" w:hAnsi="宋体" w:hint="eastAsia"/>
                <w:sz w:val="22"/>
              </w:rPr>
              <w:t>主任委员：分管研究生教学工作的副院长、分管研究生学生工作的副书记</w:t>
            </w:r>
          </w:p>
          <w:p w:rsidR="00F53F8B" w:rsidRPr="009775CE" w:rsidRDefault="00F53F8B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9775CE">
              <w:rPr>
                <w:rFonts w:ascii="宋体" w:eastAsia="宋体" w:hAnsi="宋体" w:hint="eastAsia"/>
                <w:sz w:val="22"/>
              </w:rPr>
              <w:t>委员：院长助理、系主任、教师代表、研究生科科长、研究生辅导员、学生代表</w:t>
            </w:r>
          </w:p>
          <w:p w:rsidR="00E22C3C" w:rsidRPr="00512822" w:rsidRDefault="00E22C3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E22C3C" w:rsidRPr="00512822" w:rsidRDefault="00F53F8B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增加学生代表及</w:t>
            </w:r>
            <w:r w:rsidR="00B24B23">
              <w:rPr>
                <w:rFonts w:ascii="宋体" w:eastAsia="宋体" w:hAnsi="宋体" w:hint="eastAsia"/>
                <w:sz w:val="22"/>
              </w:rPr>
              <w:t>辅导员、系主任，扩大评定委员会人数，确保奖学金评定的公平公正</w:t>
            </w:r>
          </w:p>
        </w:tc>
      </w:tr>
      <w:tr w:rsidR="00E22C3C" w:rsidRPr="00512822">
        <w:tc>
          <w:tcPr>
            <w:tcW w:w="1700" w:type="dxa"/>
            <w:vMerge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22C3C" w:rsidRPr="00512822" w:rsidRDefault="00E22C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E22C3C" w:rsidRPr="00512822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具有参评资格的学生将分两个方向（方向一：微电子；方向二：微电子以外）进行奖学金评定，并按照其综合素质分的高低排序来评定奖学金等级。</w:t>
            </w:r>
          </w:p>
        </w:tc>
        <w:tc>
          <w:tcPr>
            <w:tcW w:w="2741" w:type="dxa"/>
            <w:shd w:val="clear" w:color="auto" w:fill="auto"/>
          </w:tcPr>
          <w:p w:rsidR="00E22C3C" w:rsidRPr="00512822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具有参评资格的学生将分两个方向（方向一：原微固；方向二：原能源）进行奖学金评定，并按照其综合素质分的高低排序来评定奖学金等级。</w:t>
            </w:r>
          </w:p>
        </w:tc>
        <w:tc>
          <w:tcPr>
            <w:tcW w:w="2052" w:type="dxa"/>
            <w:shd w:val="clear" w:color="auto" w:fill="auto"/>
          </w:tcPr>
          <w:p w:rsidR="00E22C3C" w:rsidRPr="00512822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结合新学院由原能源学院和原微固学院结合的实际情况</w:t>
            </w:r>
          </w:p>
        </w:tc>
      </w:tr>
      <w:tr w:rsidR="00E22C3C" w:rsidRPr="00512822">
        <w:tc>
          <w:tcPr>
            <w:tcW w:w="1700" w:type="dxa"/>
            <w:vMerge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22C3C" w:rsidRPr="00512822" w:rsidRDefault="00E22C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E22C3C" w:rsidRPr="00512822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凡是以第一作者（第一指排名第一，如老师排名第一，学生排名第二，排名第二的学生视为第一）发表论文和专利的同学可获得该项评分。</w:t>
            </w:r>
          </w:p>
        </w:tc>
        <w:tc>
          <w:tcPr>
            <w:tcW w:w="2741" w:type="dxa"/>
            <w:shd w:val="clear" w:color="auto" w:fill="auto"/>
          </w:tcPr>
          <w:p w:rsidR="00E22C3C" w:rsidRPr="00512822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凡是以第一作者（第一指排名第一，如老师排名第一，学生排名第二，排名第二的学生视为第一；共同一作每人算0.5）</w:t>
            </w:r>
            <w:r w:rsidR="00BE4EF0" w:rsidRPr="00BE4EF0">
              <w:rPr>
                <w:rFonts w:ascii="宋体" w:eastAsia="宋体" w:hAnsi="宋体" w:hint="eastAsia"/>
                <w:sz w:val="22"/>
              </w:rPr>
              <w:t>发表论文和专利的同学可获得该项评分。</w:t>
            </w:r>
          </w:p>
        </w:tc>
        <w:tc>
          <w:tcPr>
            <w:tcW w:w="2052" w:type="dxa"/>
            <w:shd w:val="clear" w:color="auto" w:fill="auto"/>
          </w:tcPr>
          <w:p w:rsidR="00E22C3C" w:rsidRPr="00512822" w:rsidRDefault="00BE4EF0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明确共同一作的评分情况</w:t>
            </w:r>
          </w:p>
        </w:tc>
      </w:tr>
      <w:tr w:rsidR="00E22C3C" w:rsidRPr="00512822" w:rsidTr="00437ADD">
        <w:tc>
          <w:tcPr>
            <w:tcW w:w="1700" w:type="dxa"/>
            <w:vMerge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22C3C" w:rsidRPr="00512822" w:rsidRDefault="00E22C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E22C3C" w:rsidRPr="00573719" w:rsidRDefault="00BE4EF0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73719">
              <w:rPr>
                <w:rFonts w:ascii="宋体" w:eastAsia="宋体" w:hAnsi="宋体" w:hint="eastAsia"/>
                <w:sz w:val="22"/>
              </w:rPr>
              <w:t>论文作者中每有一个本科生给予0.3分的加分，可以累</w:t>
            </w:r>
            <w:r w:rsidRPr="00573719">
              <w:rPr>
                <w:rFonts w:ascii="宋体" w:eastAsia="宋体" w:hAnsi="宋体" w:hint="eastAsia"/>
                <w:sz w:val="22"/>
              </w:rPr>
              <w:lastRenderedPageBreak/>
              <w:t>计，每篇文章不超过3个。</w:t>
            </w:r>
          </w:p>
        </w:tc>
        <w:tc>
          <w:tcPr>
            <w:tcW w:w="2741" w:type="dxa"/>
            <w:shd w:val="clear" w:color="auto" w:fill="auto"/>
          </w:tcPr>
          <w:p w:rsidR="00E22C3C" w:rsidRPr="00573719" w:rsidRDefault="00573719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73719">
              <w:rPr>
                <w:rFonts w:hint="eastAsia"/>
                <w:color w:val="000000"/>
                <w:sz w:val="24"/>
              </w:rPr>
              <w:lastRenderedPageBreak/>
              <w:t>论文作者中有本科生给予</w:t>
            </w:r>
            <w:r w:rsidRPr="00573719">
              <w:rPr>
                <w:rFonts w:hint="eastAsia"/>
                <w:color w:val="000000"/>
                <w:sz w:val="24"/>
              </w:rPr>
              <w:t>0.3</w:t>
            </w:r>
            <w:r w:rsidRPr="00573719">
              <w:rPr>
                <w:rFonts w:hint="eastAsia"/>
                <w:color w:val="000000"/>
                <w:sz w:val="24"/>
              </w:rPr>
              <w:t>分的加分，且最多</w:t>
            </w:r>
            <w:r w:rsidRPr="00573719">
              <w:rPr>
                <w:rFonts w:hint="eastAsia"/>
                <w:color w:val="000000"/>
                <w:sz w:val="24"/>
              </w:rPr>
              <w:lastRenderedPageBreak/>
              <w:t>加</w:t>
            </w:r>
            <w:r w:rsidRPr="00573719">
              <w:rPr>
                <w:rFonts w:hint="eastAsia"/>
                <w:color w:val="000000"/>
                <w:sz w:val="24"/>
              </w:rPr>
              <w:t>0.3</w:t>
            </w:r>
            <w:r w:rsidRPr="00573719">
              <w:rPr>
                <w:rFonts w:hint="eastAsia"/>
                <w:color w:val="000000"/>
                <w:sz w:val="24"/>
              </w:rPr>
              <w:t>分（本科生必须排名在前三位，若有本科生为共同一作加</w:t>
            </w:r>
            <w:r w:rsidRPr="00573719">
              <w:rPr>
                <w:rFonts w:hint="eastAsia"/>
                <w:color w:val="000000"/>
                <w:sz w:val="24"/>
              </w:rPr>
              <w:t>0.5</w:t>
            </w:r>
            <w:r w:rsidRPr="00573719">
              <w:rPr>
                <w:rFonts w:hint="eastAsia"/>
                <w:color w:val="000000"/>
                <w:sz w:val="24"/>
              </w:rPr>
              <w:t>）</w:t>
            </w:r>
            <w:r w:rsidRPr="00573719">
              <w:rPr>
                <w:rFonts w:hint="eastAsia"/>
                <w:color w:val="000000"/>
                <w:sz w:val="24"/>
              </w:rPr>
              <w:t>.</w:t>
            </w:r>
          </w:p>
        </w:tc>
        <w:tc>
          <w:tcPr>
            <w:tcW w:w="2052" w:type="dxa"/>
            <w:shd w:val="clear" w:color="auto" w:fill="auto"/>
          </w:tcPr>
          <w:p w:rsidR="00E22C3C" w:rsidRPr="00512822" w:rsidRDefault="00BE4EF0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lastRenderedPageBreak/>
              <w:t>明确</w:t>
            </w:r>
            <w:r>
              <w:rPr>
                <w:rFonts w:ascii="宋体" w:eastAsia="宋体" w:hAnsi="宋体" w:hint="eastAsia"/>
                <w:sz w:val="22"/>
              </w:rPr>
              <w:t>本科生论文加分情况</w:t>
            </w:r>
          </w:p>
        </w:tc>
      </w:tr>
      <w:tr w:rsidR="00E22C3C" w:rsidRPr="00512822" w:rsidTr="00894A38">
        <w:tc>
          <w:tcPr>
            <w:tcW w:w="1700" w:type="dxa"/>
            <w:vMerge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22C3C" w:rsidRPr="00512822" w:rsidRDefault="00E22C3C" w:rsidP="00E22C3C">
            <w:pPr>
              <w:jc w:val="center"/>
              <w:rPr>
                <w:rFonts w:ascii="宋体" w:eastAsia="宋体" w:hAnsi="宋体"/>
              </w:rPr>
            </w:pPr>
            <w:r w:rsidRPr="00512822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E22C3C" w:rsidRPr="00573719" w:rsidRDefault="00573719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73719">
              <w:rPr>
                <w:rFonts w:hAnsi="Times" w:hint="eastAsia"/>
                <w:color w:val="000000"/>
                <w:sz w:val="24"/>
              </w:rPr>
              <w:t>如果专利作者中有本科生</w:t>
            </w:r>
            <w:r w:rsidR="00BE4EF0" w:rsidRPr="00573719">
              <w:rPr>
                <w:rFonts w:ascii="宋体" w:eastAsia="宋体" w:hAnsi="宋体" w:hint="eastAsia"/>
                <w:sz w:val="22"/>
              </w:rPr>
              <w:t>，则每有一个本科生给予0.3分的加分，可以累计，每篇专利不超过3个。</w:t>
            </w:r>
          </w:p>
        </w:tc>
        <w:tc>
          <w:tcPr>
            <w:tcW w:w="2741" w:type="dxa"/>
            <w:shd w:val="clear" w:color="auto" w:fill="auto"/>
          </w:tcPr>
          <w:p w:rsidR="00E22C3C" w:rsidRPr="00573719" w:rsidRDefault="00573719" w:rsidP="00573719">
            <w:pPr>
              <w:spacing w:line="360" w:lineRule="auto"/>
              <w:rPr>
                <w:color w:val="000000"/>
                <w:sz w:val="24"/>
              </w:rPr>
            </w:pPr>
            <w:r w:rsidRPr="00573719">
              <w:rPr>
                <w:rFonts w:hAnsi="Times" w:hint="eastAsia"/>
                <w:color w:val="000000"/>
                <w:sz w:val="24"/>
              </w:rPr>
              <w:t>如果专利作者中有本科生，</w:t>
            </w:r>
            <w:r w:rsidRPr="00573719">
              <w:rPr>
                <w:rFonts w:hint="eastAsia"/>
                <w:color w:val="000000"/>
                <w:sz w:val="24"/>
              </w:rPr>
              <w:t>给予</w:t>
            </w:r>
            <w:r w:rsidRPr="00573719">
              <w:rPr>
                <w:rFonts w:hint="eastAsia"/>
                <w:color w:val="000000"/>
                <w:sz w:val="24"/>
              </w:rPr>
              <w:t>0.3</w:t>
            </w:r>
            <w:r w:rsidRPr="00573719">
              <w:rPr>
                <w:rFonts w:hint="eastAsia"/>
                <w:color w:val="000000"/>
                <w:sz w:val="24"/>
              </w:rPr>
              <w:t>分的加分，且最多加</w:t>
            </w:r>
            <w:r w:rsidRPr="00573719">
              <w:rPr>
                <w:rFonts w:hint="eastAsia"/>
                <w:color w:val="000000"/>
                <w:sz w:val="24"/>
              </w:rPr>
              <w:t>0.3</w:t>
            </w:r>
            <w:r w:rsidRPr="00573719">
              <w:rPr>
                <w:rFonts w:hint="eastAsia"/>
                <w:color w:val="000000"/>
                <w:sz w:val="24"/>
              </w:rPr>
              <w:t>分（本科生必须排名在前三位，若有本科生为共同一作加</w:t>
            </w:r>
            <w:r w:rsidRPr="00573719">
              <w:rPr>
                <w:rFonts w:hint="eastAsia"/>
                <w:color w:val="000000"/>
                <w:sz w:val="24"/>
              </w:rPr>
              <w:t>0.5</w:t>
            </w:r>
            <w:r w:rsidRPr="00573719">
              <w:rPr>
                <w:rFonts w:hint="eastAsia"/>
                <w:color w:val="000000"/>
                <w:sz w:val="24"/>
              </w:rPr>
              <w:t>）。</w:t>
            </w:r>
          </w:p>
        </w:tc>
        <w:tc>
          <w:tcPr>
            <w:tcW w:w="2052" w:type="dxa"/>
            <w:shd w:val="clear" w:color="auto" w:fill="auto"/>
          </w:tcPr>
          <w:p w:rsidR="00E22C3C" w:rsidRPr="00512822" w:rsidRDefault="00E22C3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t>明确</w:t>
            </w:r>
            <w:r w:rsidR="00BE4EF0">
              <w:rPr>
                <w:rFonts w:ascii="宋体" w:eastAsia="宋体" w:hAnsi="宋体" w:hint="eastAsia"/>
                <w:sz w:val="22"/>
              </w:rPr>
              <w:t>本科生专利加分情况</w:t>
            </w:r>
          </w:p>
        </w:tc>
      </w:tr>
      <w:tr w:rsidR="00573719" w:rsidRPr="00512822" w:rsidTr="00894A38">
        <w:tc>
          <w:tcPr>
            <w:tcW w:w="1700" w:type="dxa"/>
            <w:vMerge/>
            <w:shd w:val="clear" w:color="auto" w:fill="auto"/>
          </w:tcPr>
          <w:p w:rsidR="00573719" w:rsidRPr="00512822" w:rsidRDefault="0057371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573719" w:rsidRPr="00512822" w:rsidRDefault="00573719" w:rsidP="00E22C3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573719" w:rsidRPr="00573719" w:rsidRDefault="00573719" w:rsidP="009775CE">
            <w:pPr>
              <w:spacing w:line="400" w:lineRule="exact"/>
              <w:rPr>
                <w:rFonts w:ascii="宋体" w:eastAsia="宋体" w:hAnsi="宋体" w:hint="eastAsia"/>
                <w:sz w:val="22"/>
              </w:rPr>
            </w:pPr>
            <w:r w:rsidRPr="00573719">
              <w:rPr>
                <w:rFonts w:ascii="宋体" w:eastAsia="宋体" w:hAnsi="宋体" w:hint="eastAsia"/>
                <w:sz w:val="22"/>
              </w:rPr>
              <w:t>如果专利作者中有本科生，则每有一个本科生给予0.3分的加分，可以累计，每篇专利不超过3个。</w:t>
            </w:r>
          </w:p>
        </w:tc>
        <w:tc>
          <w:tcPr>
            <w:tcW w:w="2741" w:type="dxa"/>
            <w:shd w:val="clear" w:color="auto" w:fill="auto"/>
          </w:tcPr>
          <w:p w:rsidR="00573719" w:rsidRPr="00573719" w:rsidRDefault="00573719" w:rsidP="00573719">
            <w:pPr>
              <w:spacing w:line="360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573719">
              <w:rPr>
                <w:rFonts w:hAnsi="Times" w:hint="eastAsia"/>
                <w:color w:val="000000"/>
                <w:sz w:val="24"/>
              </w:rPr>
              <w:t>如果软件著作权中有本科生，</w:t>
            </w:r>
            <w:r w:rsidRPr="00573719">
              <w:rPr>
                <w:rFonts w:hint="eastAsia"/>
                <w:color w:val="000000"/>
                <w:sz w:val="24"/>
              </w:rPr>
              <w:t>给予</w:t>
            </w:r>
            <w:r w:rsidRPr="00573719">
              <w:rPr>
                <w:rFonts w:hint="eastAsia"/>
                <w:color w:val="000000"/>
                <w:sz w:val="24"/>
              </w:rPr>
              <w:t>0.3</w:t>
            </w:r>
            <w:r w:rsidRPr="00573719">
              <w:rPr>
                <w:rFonts w:hint="eastAsia"/>
                <w:color w:val="000000"/>
                <w:sz w:val="24"/>
              </w:rPr>
              <w:t>分的加分，且最多加</w:t>
            </w:r>
            <w:r w:rsidRPr="00573719">
              <w:rPr>
                <w:rFonts w:hint="eastAsia"/>
                <w:color w:val="000000"/>
                <w:sz w:val="24"/>
              </w:rPr>
              <w:t>0.3</w:t>
            </w:r>
            <w:r w:rsidRPr="00573719">
              <w:rPr>
                <w:rFonts w:hint="eastAsia"/>
                <w:color w:val="000000"/>
                <w:sz w:val="24"/>
              </w:rPr>
              <w:t>分（本科生必须排名在前三位，若有本科生为共同一作加</w:t>
            </w:r>
            <w:r w:rsidRPr="00573719">
              <w:rPr>
                <w:rFonts w:hint="eastAsia"/>
                <w:color w:val="000000"/>
                <w:sz w:val="24"/>
              </w:rPr>
              <w:t>0.5</w:t>
            </w:r>
            <w:r w:rsidRPr="00573719">
              <w:rPr>
                <w:rFonts w:hint="eastAsia"/>
                <w:color w:val="000000"/>
                <w:sz w:val="24"/>
              </w:rPr>
              <w:t>）。</w:t>
            </w:r>
          </w:p>
        </w:tc>
        <w:tc>
          <w:tcPr>
            <w:tcW w:w="2052" w:type="dxa"/>
            <w:shd w:val="clear" w:color="auto" w:fill="auto"/>
          </w:tcPr>
          <w:p w:rsidR="00573719" w:rsidRPr="00512822" w:rsidRDefault="00573719" w:rsidP="009775CE">
            <w:pPr>
              <w:spacing w:line="400" w:lineRule="exact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明确本科生软件著作权加分情况。</w:t>
            </w:r>
          </w:p>
        </w:tc>
      </w:tr>
      <w:tr w:rsidR="00E22C3C" w:rsidRPr="00512822" w:rsidTr="00437ADD">
        <w:tc>
          <w:tcPr>
            <w:tcW w:w="1700" w:type="dxa"/>
            <w:vMerge/>
            <w:shd w:val="clear" w:color="auto" w:fill="auto"/>
          </w:tcPr>
          <w:p w:rsidR="00E22C3C" w:rsidRPr="00512822" w:rsidRDefault="00E22C3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22C3C" w:rsidRPr="00512822" w:rsidRDefault="00573719" w:rsidP="00894A3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E22C3C" w:rsidRPr="00512822" w:rsidRDefault="00AE753B" w:rsidP="00AE753B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AE753B">
              <w:rPr>
                <w:rFonts w:ascii="宋体" w:eastAsia="宋体" w:hAnsi="宋体" w:hint="eastAsia"/>
                <w:sz w:val="22"/>
              </w:rPr>
              <w:t>具有参评资格的博士将按照研究方向分为两个方向（方向一：微电子；方向二：微电子以外）并分年级进行学业奖学金评定，且按照学业成绩的高低排序来评定奖学金等级。</w:t>
            </w:r>
          </w:p>
        </w:tc>
        <w:tc>
          <w:tcPr>
            <w:tcW w:w="2741" w:type="dxa"/>
            <w:shd w:val="clear" w:color="auto" w:fill="auto"/>
          </w:tcPr>
          <w:p w:rsidR="00E22C3C" w:rsidRPr="00AE753B" w:rsidRDefault="00AE753B" w:rsidP="00437ADD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824B74">
              <w:rPr>
                <w:rFonts w:ascii="宋体" w:eastAsia="宋体" w:hAnsi="宋体" w:hint="eastAsia"/>
                <w:sz w:val="22"/>
              </w:rPr>
              <w:t>具有参评资格的博士将按照研究方向分为两个方向（方向一：原微固；方向二：原能源）并分年级进行学业奖学金评定，且按照学业成绩的高低排序来评定奖学金等级。</w:t>
            </w:r>
          </w:p>
        </w:tc>
        <w:tc>
          <w:tcPr>
            <w:tcW w:w="2052" w:type="dxa"/>
            <w:shd w:val="clear" w:color="auto" w:fill="auto"/>
          </w:tcPr>
          <w:p w:rsidR="00E22C3C" w:rsidRPr="00512822" w:rsidRDefault="00AE753B" w:rsidP="00650285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结合新学院由原能源学院和原微固学院结合的实际情况</w:t>
            </w:r>
          </w:p>
        </w:tc>
      </w:tr>
      <w:tr w:rsidR="00EF46B9" w:rsidRPr="00512822">
        <w:tc>
          <w:tcPr>
            <w:tcW w:w="1700" w:type="dxa"/>
            <w:vMerge w:val="restart"/>
            <w:shd w:val="clear" w:color="auto" w:fill="auto"/>
          </w:tcPr>
          <w:p w:rsidR="00EF46B9" w:rsidRPr="00573719" w:rsidRDefault="00EF46B9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EF46B9" w:rsidRPr="00512822" w:rsidRDefault="00EF46B9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细则新增部分</w:t>
            </w:r>
          </w:p>
        </w:tc>
        <w:tc>
          <w:tcPr>
            <w:tcW w:w="707" w:type="dxa"/>
            <w:shd w:val="clear" w:color="auto" w:fill="auto"/>
          </w:tcPr>
          <w:p w:rsidR="00EF46B9" w:rsidRPr="00512822" w:rsidRDefault="00EF46B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EF46B9" w:rsidRPr="00512822" w:rsidRDefault="00EF46B9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t>\</w:t>
            </w:r>
          </w:p>
        </w:tc>
        <w:tc>
          <w:tcPr>
            <w:tcW w:w="2741" w:type="dxa"/>
            <w:shd w:val="clear" w:color="auto" w:fill="auto"/>
          </w:tcPr>
          <w:p w:rsidR="00466BBC" w:rsidRPr="00466BBC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通过学位英语；</w:t>
            </w:r>
          </w:p>
          <w:p w:rsidR="00EF46B9" w:rsidRPr="00512822" w:rsidRDefault="00EF46B9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EF46B9" w:rsidRPr="00512822" w:rsidRDefault="004E67E1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增强英语水平要求</w:t>
            </w:r>
          </w:p>
        </w:tc>
      </w:tr>
      <w:tr w:rsidR="00EF46B9" w:rsidRPr="00512822">
        <w:tc>
          <w:tcPr>
            <w:tcW w:w="1700" w:type="dxa"/>
            <w:vMerge/>
            <w:shd w:val="clear" w:color="auto" w:fill="auto"/>
          </w:tcPr>
          <w:p w:rsidR="00EF46B9" w:rsidRPr="00512822" w:rsidRDefault="00EF46B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F46B9" w:rsidRPr="00512822" w:rsidRDefault="00EF46B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EF46B9" w:rsidRPr="00512822" w:rsidRDefault="00EF46B9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t>\</w:t>
            </w:r>
          </w:p>
        </w:tc>
        <w:tc>
          <w:tcPr>
            <w:tcW w:w="2741" w:type="dxa"/>
            <w:shd w:val="clear" w:color="auto" w:fill="auto"/>
          </w:tcPr>
          <w:p w:rsidR="00466BBC" w:rsidRPr="00466BBC" w:rsidRDefault="00466BBC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三年级研究生必须至少参加10次学术活动，以盖章的《学术活动登记表》为准。</w:t>
            </w:r>
          </w:p>
          <w:p w:rsidR="00EF46B9" w:rsidRPr="00466BBC" w:rsidRDefault="00EF46B9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EF46B9" w:rsidRPr="00512822" w:rsidRDefault="004E67E1" w:rsidP="009775CE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鼓励参加学术活动</w:t>
            </w:r>
          </w:p>
        </w:tc>
      </w:tr>
      <w:tr w:rsidR="00EF46B9" w:rsidRPr="00512822">
        <w:tc>
          <w:tcPr>
            <w:tcW w:w="1700" w:type="dxa"/>
            <w:vMerge/>
            <w:shd w:val="clear" w:color="auto" w:fill="auto"/>
          </w:tcPr>
          <w:p w:rsidR="00EF46B9" w:rsidRPr="00512822" w:rsidRDefault="00EF46B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F46B9" w:rsidRPr="00512822" w:rsidRDefault="00E22C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EF46B9" w:rsidRPr="00512822" w:rsidRDefault="00EF46B9" w:rsidP="00AE753B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t>\</w:t>
            </w:r>
          </w:p>
        </w:tc>
        <w:tc>
          <w:tcPr>
            <w:tcW w:w="2741" w:type="dxa"/>
            <w:shd w:val="clear" w:color="auto" w:fill="auto"/>
          </w:tcPr>
          <w:p w:rsidR="00AE753B" w:rsidRPr="00AE753B" w:rsidRDefault="00AE753B" w:rsidP="00AE753B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AE753B">
              <w:rPr>
                <w:rFonts w:ascii="宋体" w:eastAsia="宋体" w:hAnsi="宋体" w:hint="eastAsia"/>
                <w:sz w:val="22"/>
              </w:rPr>
              <w:t>软件著作权</w:t>
            </w:r>
          </w:p>
          <w:p w:rsidR="00AE753B" w:rsidRPr="00AE753B" w:rsidRDefault="00AE753B" w:rsidP="00AE753B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AE753B">
              <w:rPr>
                <w:rFonts w:ascii="宋体" w:eastAsia="宋体" w:hAnsi="宋体" w:hint="eastAsia"/>
                <w:sz w:val="22"/>
              </w:rPr>
              <w:t>获得软件著作权计5分。</w:t>
            </w:r>
          </w:p>
          <w:p w:rsidR="00AE753B" w:rsidRPr="00AE753B" w:rsidRDefault="00AE753B" w:rsidP="00AE753B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AE753B">
              <w:rPr>
                <w:rFonts w:ascii="宋体" w:eastAsia="宋体" w:hAnsi="宋体" w:hint="eastAsia"/>
                <w:sz w:val="22"/>
              </w:rPr>
              <w:t>硕士研究生和博士研究生</w:t>
            </w:r>
            <w:r w:rsidRPr="00AE753B">
              <w:rPr>
                <w:rFonts w:ascii="宋体" w:eastAsia="宋体" w:hAnsi="宋体" w:hint="eastAsia"/>
                <w:sz w:val="22"/>
              </w:rPr>
              <w:lastRenderedPageBreak/>
              <w:t>均只计算学生第一作者（第一指排名第一，如老师排名第一，学生排名第二，排名第二的学生视为第一），若学生排名第三及以后，均不予计分。如果软件著作权中有本科生，则每有一个本科生给予0.3分的加分，最多加0.3（前三位本科生）。</w:t>
            </w:r>
          </w:p>
          <w:p w:rsidR="00EF46B9" w:rsidRPr="00AE753B" w:rsidRDefault="00EF46B9" w:rsidP="00AE753B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EF46B9" w:rsidRPr="00512822" w:rsidRDefault="00AE753B">
            <w:pPr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原能源无此项</w:t>
            </w:r>
          </w:p>
        </w:tc>
      </w:tr>
      <w:tr w:rsidR="00EF46B9" w:rsidRPr="00512822">
        <w:tc>
          <w:tcPr>
            <w:tcW w:w="1700" w:type="dxa"/>
            <w:vMerge w:val="restart"/>
            <w:shd w:val="clear" w:color="auto" w:fill="auto"/>
          </w:tcPr>
          <w:p w:rsidR="00EF46B9" w:rsidRPr="00512822" w:rsidRDefault="00EF46B9">
            <w:pPr>
              <w:rPr>
                <w:rFonts w:ascii="宋体" w:eastAsia="宋体" w:hAnsi="宋体"/>
                <w:b/>
                <w:sz w:val="24"/>
                <w:szCs w:val="28"/>
              </w:rPr>
            </w:pPr>
          </w:p>
          <w:p w:rsidR="00EF46B9" w:rsidRPr="00512822" w:rsidRDefault="00EF46B9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b/>
                <w:sz w:val="24"/>
                <w:szCs w:val="28"/>
              </w:rPr>
              <w:t>细则</w:t>
            </w:r>
            <w:r w:rsidRPr="00512822">
              <w:rPr>
                <w:rFonts w:ascii="宋体" w:eastAsia="宋体" w:hAnsi="宋体"/>
                <w:b/>
                <w:sz w:val="24"/>
                <w:szCs w:val="28"/>
              </w:rPr>
              <w:t>删除部分</w:t>
            </w:r>
          </w:p>
        </w:tc>
        <w:tc>
          <w:tcPr>
            <w:tcW w:w="707" w:type="dxa"/>
            <w:shd w:val="clear" w:color="auto" w:fill="auto"/>
          </w:tcPr>
          <w:p w:rsidR="00EF46B9" w:rsidRPr="00512822" w:rsidRDefault="00EF46B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466BBC" w:rsidRPr="00466BBC" w:rsidRDefault="00466BBC" w:rsidP="00466BBC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466BBC">
              <w:rPr>
                <w:rFonts w:ascii="宋体" w:eastAsia="宋体" w:hAnsi="宋体" w:hint="eastAsia"/>
                <w:sz w:val="22"/>
              </w:rPr>
              <w:t>课程进修班的学生不和本年级一起参评，与上一年级参评奖学金。</w:t>
            </w:r>
          </w:p>
          <w:p w:rsidR="00EF46B9" w:rsidRPr="00466BBC" w:rsidRDefault="00EF46B9" w:rsidP="00E22C3C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41" w:type="dxa"/>
            <w:shd w:val="clear" w:color="auto" w:fill="auto"/>
          </w:tcPr>
          <w:p w:rsidR="00EF46B9" w:rsidRPr="00512822" w:rsidRDefault="00EF46B9">
            <w:pPr>
              <w:jc w:val="center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t>\</w:t>
            </w:r>
          </w:p>
        </w:tc>
        <w:tc>
          <w:tcPr>
            <w:tcW w:w="2052" w:type="dxa"/>
            <w:shd w:val="clear" w:color="auto" w:fill="auto"/>
          </w:tcPr>
          <w:p w:rsidR="00EF46B9" w:rsidRPr="00512822" w:rsidRDefault="004E67E1" w:rsidP="00C819B4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无此情况</w:t>
            </w:r>
          </w:p>
        </w:tc>
      </w:tr>
      <w:tr w:rsidR="00EF46B9" w:rsidRPr="00512822">
        <w:tc>
          <w:tcPr>
            <w:tcW w:w="1700" w:type="dxa"/>
            <w:vMerge/>
            <w:shd w:val="clear" w:color="auto" w:fill="auto"/>
          </w:tcPr>
          <w:p w:rsidR="00EF46B9" w:rsidRPr="00512822" w:rsidRDefault="00EF46B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EF46B9" w:rsidRPr="00512822" w:rsidRDefault="00EF46B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512822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BE4EF0" w:rsidRPr="00BE4EF0" w:rsidRDefault="00BE4EF0" w:rsidP="00BE4EF0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 w:rsidRPr="00BE4EF0">
              <w:rPr>
                <w:rFonts w:ascii="宋体" w:eastAsia="宋体" w:hAnsi="宋体" w:hint="eastAsia"/>
                <w:sz w:val="22"/>
              </w:rPr>
              <w:t>发表于《journal of alloys and compounds》上的论文：60</w:t>
            </w:r>
          </w:p>
          <w:p w:rsidR="00EF46B9" w:rsidRPr="00512822" w:rsidRDefault="00EF46B9" w:rsidP="00C819B4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41" w:type="dxa"/>
            <w:shd w:val="clear" w:color="auto" w:fill="auto"/>
          </w:tcPr>
          <w:p w:rsidR="00EF46B9" w:rsidRPr="00512822" w:rsidRDefault="00EF46B9">
            <w:pPr>
              <w:jc w:val="center"/>
              <w:rPr>
                <w:rFonts w:ascii="宋体" w:eastAsia="宋体" w:hAnsi="宋体"/>
                <w:sz w:val="22"/>
              </w:rPr>
            </w:pPr>
            <w:r w:rsidRPr="00512822">
              <w:rPr>
                <w:rFonts w:ascii="宋体" w:eastAsia="宋体" w:hAnsi="宋体" w:hint="eastAsia"/>
                <w:sz w:val="22"/>
              </w:rPr>
              <w:t>\</w:t>
            </w:r>
          </w:p>
        </w:tc>
        <w:tc>
          <w:tcPr>
            <w:tcW w:w="2052" w:type="dxa"/>
            <w:shd w:val="clear" w:color="auto" w:fill="auto"/>
          </w:tcPr>
          <w:p w:rsidR="00EF46B9" w:rsidRPr="00512822" w:rsidRDefault="00BE4EF0" w:rsidP="00C819B4">
            <w:pPr>
              <w:spacing w:line="400" w:lineRule="exac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不再采用该计分标准</w:t>
            </w:r>
          </w:p>
        </w:tc>
      </w:tr>
    </w:tbl>
    <w:p w:rsidR="00CA22AD" w:rsidRPr="00512822" w:rsidRDefault="00CA22AD">
      <w:pPr>
        <w:rPr>
          <w:rFonts w:ascii="宋体" w:eastAsia="宋体" w:hAnsi="宋体"/>
          <w:sz w:val="24"/>
          <w:szCs w:val="28"/>
        </w:rPr>
      </w:pPr>
    </w:p>
    <w:p w:rsidR="00CA22AD" w:rsidRPr="00512822" w:rsidRDefault="00CA22AD">
      <w:pPr>
        <w:rPr>
          <w:rFonts w:ascii="宋体" w:eastAsia="宋体" w:hAnsi="宋体"/>
        </w:rPr>
      </w:pPr>
    </w:p>
    <w:sectPr w:rsidR="00CA22AD" w:rsidRPr="00512822" w:rsidSect="00CA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BF" w:rsidRDefault="00D312BF" w:rsidP="009D2CA2">
      <w:r>
        <w:separator/>
      </w:r>
    </w:p>
  </w:endnote>
  <w:endnote w:type="continuationSeparator" w:id="1">
    <w:p w:rsidR="00D312BF" w:rsidRDefault="00D312BF" w:rsidP="009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BF" w:rsidRDefault="00D312BF" w:rsidP="009D2CA2">
      <w:r>
        <w:separator/>
      </w:r>
    </w:p>
  </w:footnote>
  <w:footnote w:type="continuationSeparator" w:id="1">
    <w:p w:rsidR="00D312BF" w:rsidRDefault="00D312BF" w:rsidP="009D2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DAF"/>
    <w:multiLevelType w:val="multilevel"/>
    <w:tmpl w:val="33C95DAF"/>
    <w:lvl w:ilvl="0">
      <w:start w:val="1"/>
      <w:numFmt w:val="decimal"/>
      <w:lvlText w:val="%1、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67CAC9F"/>
    <w:multiLevelType w:val="singleLevel"/>
    <w:tmpl w:val="567CAC9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7E255A"/>
    <w:rsid w:val="000B11A0"/>
    <w:rsid w:val="00271799"/>
    <w:rsid w:val="002E6417"/>
    <w:rsid w:val="002F6E80"/>
    <w:rsid w:val="0031689A"/>
    <w:rsid w:val="003F6670"/>
    <w:rsid w:val="00435059"/>
    <w:rsid w:val="00437ADD"/>
    <w:rsid w:val="00466BBC"/>
    <w:rsid w:val="0048093A"/>
    <w:rsid w:val="004E4CBD"/>
    <w:rsid w:val="004E67E1"/>
    <w:rsid w:val="00512822"/>
    <w:rsid w:val="00550A4C"/>
    <w:rsid w:val="00571166"/>
    <w:rsid w:val="00573719"/>
    <w:rsid w:val="005A74B1"/>
    <w:rsid w:val="00650285"/>
    <w:rsid w:val="00740DF9"/>
    <w:rsid w:val="00756796"/>
    <w:rsid w:val="00824B74"/>
    <w:rsid w:val="00894A38"/>
    <w:rsid w:val="008F1E27"/>
    <w:rsid w:val="008F7A81"/>
    <w:rsid w:val="00935807"/>
    <w:rsid w:val="00950EF8"/>
    <w:rsid w:val="009775CE"/>
    <w:rsid w:val="009777EE"/>
    <w:rsid w:val="009D0498"/>
    <w:rsid w:val="009D2CA2"/>
    <w:rsid w:val="00AE753B"/>
    <w:rsid w:val="00B12765"/>
    <w:rsid w:val="00B14E25"/>
    <w:rsid w:val="00B24B23"/>
    <w:rsid w:val="00BE4EF0"/>
    <w:rsid w:val="00BF553A"/>
    <w:rsid w:val="00C470A6"/>
    <w:rsid w:val="00C533C4"/>
    <w:rsid w:val="00C62F72"/>
    <w:rsid w:val="00C819B4"/>
    <w:rsid w:val="00CA22AD"/>
    <w:rsid w:val="00CD5F6C"/>
    <w:rsid w:val="00CE46A6"/>
    <w:rsid w:val="00D312BF"/>
    <w:rsid w:val="00E22C3C"/>
    <w:rsid w:val="00EF46B9"/>
    <w:rsid w:val="00EF61DC"/>
    <w:rsid w:val="00F33E3D"/>
    <w:rsid w:val="00F47D0A"/>
    <w:rsid w:val="00F53F8B"/>
    <w:rsid w:val="00F8747A"/>
    <w:rsid w:val="00FD39BC"/>
    <w:rsid w:val="00FF71BE"/>
    <w:rsid w:val="187E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2AD"/>
    <w:pPr>
      <w:ind w:firstLineChars="200" w:firstLine="420"/>
    </w:pPr>
  </w:style>
  <w:style w:type="paragraph" w:customStyle="1" w:styleId="2">
    <w:name w:val="列出段落2"/>
    <w:uiPriority w:val="34"/>
    <w:qFormat/>
    <w:rsid w:val="00F53F8B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unhideWhenUsed/>
    <w:rsid w:val="009D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2CA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D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2CA2"/>
    <w:rPr>
      <w:kern w:val="2"/>
      <w:sz w:val="18"/>
      <w:szCs w:val="18"/>
    </w:rPr>
  </w:style>
  <w:style w:type="character" w:styleId="a6">
    <w:name w:val="Hyperlink"/>
    <w:uiPriority w:val="99"/>
    <w:unhideWhenUsed/>
    <w:rsid w:val="004E6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hwj</cp:lastModifiedBy>
  <cp:revision>4</cp:revision>
  <cp:lastPrinted>2017-12-21T08:48:00Z</cp:lastPrinted>
  <dcterms:created xsi:type="dcterms:W3CDTF">2018-04-23T03:12:00Z</dcterms:created>
  <dcterms:modified xsi:type="dcterms:W3CDTF">2018-04-23T08:25:00Z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